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spacing w:line="560" w:lineRule="exact"/>
        <w:jc w:val="center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楷体_GB2312" w:eastAsia="楷体_GB2312" w:hAnsi="??-?"/>
        </w:rPr>
        <w:spacing w:line="560" w:lineRule="exact"/>
        <w:jc w:val="center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t xml:space="preserve">关于举办第十五届“振兴杯”全国青年职业技能大赛学生组招聘会的通知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楷体_GB2312" w:eastAsia="楷体_GB2312" w:hAnsi="??-?"/>
        </w:rPr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江干区、高新（滨江）区、萧山区、余杭区、钱塘新区、临安区就业管理服务处：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仿宋" w:eastAsia="仿宋" w:hAnsi="仿宋"/>
        </w:rPr>
        <w:ind w:firstLine="600" w:firstLineChars="200"/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宋体"/>
        </w:rPr>
        <w:t xml:space="preserve">根据工作安排，第十五届“振兴杯”全国青年职业技能大赛学生组决赛将于11月14-18日在杭州举办，参赛选手来自全国32个省份和5个央企，共37支队伍，每个队伍包括4个工种（维修电工、车工、工具钳工、计算机程序设计员），参赛选手共444名，为每个省（央企）的前3名。为响应首个“杭州工匠日”活动部署，大力弘扬工匠精神，引导青年转变就业观念、成才观念，为我市培养知识型、技能型、创新型青年高技能人才队伍作出贡献，吸引更多高技能人才来杭发展，决定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在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第十五届 “振兴杯”全国青年职业技能大赛期间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，举办青年技能人才专场招聘会，同步在杭州市人社局官网上举办网络招聘会，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现就有关事项通知如下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：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ind w:firstLine="602" w:firstLineChars="200"/>
        <w:spacing w:line="560" w:lineRule="exact"/>
        <w:jc w:val="both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一、举办时间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ind w:firstLine="600" w:firstLineChars="200"/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11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月15日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-11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月16日（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9:30—17:00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）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ind w:firstLine="602" w:firstLineChars="200"/>
        <w:spacing w:line="560" w:lineRule="exact"/>
        <w:jc w:val="both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二、举办地点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ind w:firstLine="600" w:firstLineChars="200"/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杭州职业技术学院（线下）、杭州市人社局官网（网址：http://hrss.hangzhou.gov.cn，线上）。</w:t>
      </w:r>
    </w:p>
    <w:p>
      <w:pPr>
        <w:pStyle w:val="UserStyle_3"/>
        <w:rPr>
          <w:rStyle w:val="NormalCharacter"/>
          <w:b/>
          <w:szCs w:val="30"/>
          <w:sz w:val="30"/>
          <w:rFonts w:ascii="黑体" w:eastAsia="黑体" w:hAnsi="黑体"/>
        </w:rPr>
        <w:widowControl/>
        <w:ind w:firstLine="596" w:firstLineChars="198"/>
        <w:spacing w:line="240" w:lineRule="auto"/>
      </w:pPr>
      <w:r>
        <w:rPr>
          <w:rStyle w:val="NormalCharacter"/>
          <w:b/>
          <w:szCs w:val="30"/>
          <w:sz w:val="30"/>
          <w:rFonts w:ascii="黑体" w:eastAsia="黑体" w:hAnsi="黑体"/>
        </w:rPr>
        <w:t xml:space="preserve">三、举办单位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主办单位：杭州市人民政府。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承办单位：市人社局、市经信局、团市委。</w:t>
      </w:r>
    </w:p>
    <w:p>
      <w:pPr>
        <w:pStyle w:val="UserStyle_3"/>
        <w:rPr>
          <w:rStyle w:val="NormalCharacter"/>
          <w:b/>
          <w:szCs w:val="30"/>
          <w:sz w:val="30"/>
          <w:rFonts w:ascii="黑体" w:eastAsia="黑体" w:hAnsi="黑体"/>
        </w:rPr>
        <w:widowControl/>
        <w:ind w:firstLine="596" w:firstLineChars="198"/>
        <w:spacing w:line="240" w:lineRule="auto"/>
      </w:pPr>
      <w:r>
        <w:rPr>
          <w:rStyle w:val="NormalCharacter"/>
          <w:b/>
          <w:szCs w:val="30"/>
          <w:sz w:val="30"/>
          <w:rFonts w:ascii="黑体" w:eastAsia="黑体" w:hAnsi="黑体"/>
        </w:rPr>
        <w:t xml:space="preserve">四、活动规模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600" w:firstLineChars="200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1、企业规模：市人社局、市经信局各负责组织25家企业，共50家。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600" w:firstLineChars="200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2、求职人员规模：包括</w:t>
      </w:r>
      <w:r>
        <w:rPr>
          <w:rStyle w:val="NormalCharacter"/>
          <w:szCs w:val="30"/>
          <w:sz w:val="30"/>
          <w:rFonts w:ascii="仿宋" w:eastAsia="仿宋" w:hAnsi="仿宋"/>
        </w:rPr>
        <w:t xml:space="preserve">444名技能大赛参赛选手，以及招聘会举办地点周边高职院校学生。</w:t>
      </w:r>
    </w:p>
    <w:p>
      <w:pPr>
        <w:pStyle w:val="UserStyle_3"/>
        <w:rPr>
          <w:rStyle w:val="NormalCharacter"/>
          <w:b/>
          <w:szCs w:val="30"/>
          <w:sz w:val="30"/>
          <w:rFonts w:ascii="黑体" w:eastAsia="黑体" w:hAnsi="黑体"/>
        </w:rPr>
        <w:widowControl/>
        <w:ind w:firstLine="596" w:firstLineChars="198"/>
        <w:spacing w:line="240" w:lineRule="auto"/>
      </w:pPr>
      <w:r>
        <w:rPr>
          <w:rStyle w:val="NormalCharacter"/>
          <w:b/>
          <w:szCs w:val="30"/>
          <w:sz w:val="30"/>
          <w:rFonts w:ascii="黑体" w:eastAsia="黑体" w:hAnsi="黑体"/>
        </w:rPr>
        <w:t xml:space="preserve">五、活动组织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1、市人社局、市经信局、团市委负责招聘会的总体工作安排和执行，招聘会涉及的有关费用统一由团市委在技能大赛经费中列支。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2、江干区、高新（滨江）区、萧山区、余杭区、钱塘新区、临安区就业处负责落实参会企业2至5家，参会企业要求为杭城知名规上企业，拟录用人员的工资待遇不低于6000元/月，提供食宿，招聘岗位涉及电工、钳工、车工、计算机等技术工种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3、要求参会企业提供企业招聘岗位信息，参会企业需填写《第十五届“振兴杯”全国青年职业技能大赛学生组招聘会招聘需求表》（见附件），相关区就业处负责收集参会企业相关资料，连同参会企业汇总表格（另附EXCEL表）于9月19日报我局公共处。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4、报名参会的企业，由主办方筛选确定25家，确定后的参会企业须</w:t>
      </w:r>
      <w:r>
        <w:rPr>
          <w:rStyle w:val="NormalCharacter"/>
          <w:szCs w:val="30"/>
          <w:sz w:val="30"/>
          <w:lang w:val="en-US" w:eastAsia="zh-CN" w:bidi="ar-SA"/>
          <w:rFonts w:ascii="仿宋" w:eastAsia="仿宋" w:hAnsi="仿宋"/>
          <w:color w:val="000000"/>
        </w:rPr>
        <w:t xml:space="preserve">录制企业宣传视频（10分钟以内），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招聘会主办方统一制作招聘海报，提供视频播放器。</w:t>
      </w:r>
    </w:p>
    <w:p>
      <w:pPr>
        <w:pStyle w:val="UserStyle_8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  <w:color w:val="000000"/>
        </w:rPr>
        <w:ind w:firstLine="602" w:firstLineChars="200"/>
        <w:spacing w:line="360" w:lineRule="auto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  <w:color w:val="000000"/>
        </w:rPr>
        <w:t xml:space="preserve">六、联系人及联系方式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联系人：邵建军；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电话：61105717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  <w:jc w:val="right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t xml:space="preserve">附件：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spacing w:line="240" w:lineRule="auto"/>
        <w:jc w:val="center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第十五届“振兴杯”全国青年职业技能大赛学生组招聘会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黑体" w:eastAsia="黑体" w:hAnsi="黑体"/>
        </w:rPr>
        <w:spacing w:line="240" w:lineRule="auto"/>
        <w:jc w:val="center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招聘需求表</w:t>
      </w:r>
    </w:p>
    <w:tbl>
      <w:tblPr>
        <w:tblW w:type="dxa" w:w="8789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none" w:sz="0"/>
          <w:insideV w:space="0" w:color="000000" w:val="none" w:sz="0"/>
        </w:tblBorders>
        <w:tblLayout w:type="fixed"/>
        <w:tblCellMar>
          <w:left w:w="0" w:type="dxa"/>
          <w:right w:w="0" w:type="dxa"/>
        </w:tblCellMar>
      </w:tblPr>
      <w:tblGrid>
        <w:gridCol w:w="1276"/>
        <w:gridCol w:w="204"/>
        <w:gridCol w:w="788"/>
        <w:gridCol w:w="372"/>
        <w:gridCol w:w="479"/>
        <w:gridCol w:w="1421"/>
        <w:gridCol w:w="1460"/>
        <w:gridCol w:w="2789"/>
      </w:tblGrid>
      <w:tr>
        <w:trPr>
          <w:wAfter w:w="0" w:type="dxa"/>
          <w:trHeight w:val="620" w:hRule="atLeast"/>
        </w:trPr>
        <w:tc>
          <w:tcPr>
            <w:textDirection w:val="lrTb"/>
            <w:vAlign w:val="center"/>
            <w:tcW w:type="dxa" w:w="26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单位名称（盖章）</w:t>
            </w:r>
          </w:p>
        </w:tc>
        <w:tc>
          <w:tcPr>
            <w:textDirection w:val="lrTb"/>
            <w:vAlign w:val="center"/>
            <w:tcW w:type="dxa" w:w="614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ind w:firstLine="600"/>
              <w:spacing w:line="240" w:lineRule="auto"/>
              <w:jc w:val="center"/>
            </w:pPr>
          </w:p>
        </w:tc>
      </w:tr>
      <w:tr>
        <w:trPr>
          <w:wAfter w:w="0" w:type="dxa"/>
          <w:trHeight w:val="600" w:hRule="atLeast"/>
        </w:trPr>
        <w:tc>
          <w:tcPr>
            <w:textDirection w:val="lrTb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单位性质</w:t>
            </w:r>
          </w:p>
        </w:tc>
        <w:tc>
          <w:tcPr>
            <w:textDirection w:val="lrTb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经营规模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600" w:hRule="atLeast"/>
        </w:trPr>
        <w:tc>
          <w:tcPr>
            <w:textDirection w:val="lrTb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单位地址</w:t>
            </w:r>
          </w:p>
        </w:tc>
        <w:tc>
          <w:tcPr>
            <w:textDirection w:val="lrTb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580" w:hRule="atLeast"/>
          <w:cantSplit/>
        </w:trPr>
        <w:tc>
          <w:tcPr>
            <w:textDirection w:val="lrTb"/>
            <w:vMerge w:val="restart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联系人</w:t>
            </w:r>
          </w:p>
        </w:tc>
        <w:tc>
          <w:tcPr>
            <w:textDirection w:val="lrTb"/>
            <w:vMerge w:val="restart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720" w:hRule="atLeast"/>
          <w:cantSplit/>
        </w:trPr>
        <w:tc>
          <w:tcPr>
            <w:textDirection w:val="lrTb"/>
            <w:vMerge w:val="continue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widowControl/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widowControl/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传真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center"/>
            </w:pPr>
          </w:p>
        </w:tc>
      </w:tr>
      <w:tr>
        <w:trPr>
          <w:wAfter w:w="0" w:type="dxa"/>
          <w:trHeight w:val="620" w:hRule="atLeast"/>
        </w:trPr>
        <w:tc>
          <w:tcPr>
            <w:textDirection w:val="lrTb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电子邮件</w:t>
            </w:r>
          </w:p>
        </w:tc>
        <w:tc>
          <w:tcPr>
            <w:textDirection w:val="lrTb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手机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3498" w:hRule="atLeast"/>
        </w:trPr>
        <w:tc>
          <w:tcPr>
            <w:textDirection w:val="lrTb"/>
            <w:vAlign w:val="center"/>
            <w:tcW w:type="dxa" w:w="8789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left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单位简介：</w:t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600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岗位要求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岗位待遇</w:t>
            </w:r>
          </w:p>
        </w:tc>
      </w:tr>
      <w:tr>
        <w:trPr>
          <w:wAfter w:w="0" w:type="dxa"/>
          <w:trHeight w:val="1088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ind w:firstLine="198" w:firstLineChars="66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ind w:firstLine="198" w:firstLineChars="66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440" w:lineRule="exact"/>
              <w:jc w:val="both"/>
            </w:pP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1088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</w:tr>
      <w:tr>
        <w:trPr>
          <w:wAfter w:w="0" w:type="dxa"/>
          <w:trHeight w:val="1088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</w:tr>
    </w:tbl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right="9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</w:r>
    </w:p>
    <w:sectPr>
      <w:vAlign w:val="top"/>
      <w:type w:val="nextPage"/>
      <w:pgSz w:h="16838" w:w="11906" w:orient="portrait"/>
      <w:pgMar w:gutter="0" w:header="851" w:top="1091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 Light">
    <w:altName w:val="Calibri Light"/>
    <w:charset w:val="00"/>
    <w:family w:val="swiss"/>
    <w:panose1 w:val="020f0302020204030204"/>
    <w:pitch w:val="default"/>
    <w:sig w:usb0="a00002ef" w:usb1="4000207b" w:usb2="00000000" w:usb3="00000000" w:csb0="2000019f" w:csb1="00000000"/>
  </w:font>
  <w:font w:name="微软雅黑">
    <w:altName w:val="微软雅黑"/>
    <w:charset w:val="86"/>
    <w:family w:val="swiss"/>
    <w:panose1 w:val="020b0503020204020204"/>
    <w:pitch w:val="default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anose1 w:val="00000000000000000000"/>
    <w:pitch w:val="default"/>
    <w:sig w:usb0="00000001" w:usb1="080e0000" w:usb2="0000001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anose1 w:val="00000000000000000000"/>
    <w:pitch w:val="default"/>
    <w:sig w:usb0="00000001" w:usb1="080e0000" w:usb2="00000010" w:usb3="00000000" w:csb0="00040000" w:csb1="00000000"/>
  </w:font>
  <w:font w:name="??-?">
    <w:altName w:val="Segoe Print"/>
    <w:charset w:val="00"/>
    <w:family w:val="auto"/>
    <w:panose1 w:val="00000000000000000000"/>
    <w:pitch w:val="default"/>
    <w:sig w:usb0="00000003" w:usb1="00000000" w:usb2="00000000" w:usb3="00000000" w:csb0="00000001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  <w:font w:name="仿宋_GB2312">
    <w:altName w:val="仿宋"/>
    <w:charset w:val="86"/>
    <w:family w:val="modern"/>
    <w:panose1 w:val="00000000000000000000"/>
    <w:pitch w:val="default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>
  <w:zoom w:percent="9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spacing w:line="240" w:lineRule="auto"/>
      <w:jc w:val="both"/>
    </w:pPr>
    <w:rPr>
      <w:szCs w:val="22"/>
      <w:sz w:val="21"/>
      <w:kern w:val="2"/>
      <w:lang w:val="en-US" w:eastAsia="zh-CN" w:bidi="ar-SA"/>
    </w:rPr>
  </w:style>
  <w:style w:type="paragraph" w:styleId="Heading1">
    <w:name w:val="Heading1"/>
    <w:basedOn w:val="Normal"/>
    <w:next w:val="Normal"/>
    <w:link w:val="UserStyle_0"/>
    <w:pPr>
      <w:rPr>
        <w:b/>
        <w:bCs/>
        <w:szCs w:val="44"/>
        <w:sz w:val="44"/>
        <w:kern w:val="44"/>
        <w:lang w:val="en-US" w:eastAsia="zh-CN" w:bidi="ar-SA"/>
        <w:rFonts w:cs="Times New Roman"/>
      </w:rPr>
      <w:keepLines/>
      <w:keepNext/>
      <w:framePr w:outlineLvl="0"/>
      <w:spacing w:line="578" w:after="330" w:before="340" w:lineRule="auto"/>
      <w:jc w:val="both"/>
    </w:pPr>
    <w:rPr>
      <w:b/>
      <w:bCs/>
      <w:szCs w:val="44"/>
      <w:sz w:val="44"/>
      <w:kern w:val="44"/>
      <w:lang w:val="en-US" w:eastAsia="zh-CN" w:bidi="ar-SA"/>
      <w:rFonts w:cs="Times New Roman"/>
    </w:rPr>
  </w:style>
  <w:style w:type="paragraph" w:styleId="Heading2">
    <w:name w:val="Heading2"/>
    <w:basedOn w:val="Normal"/>
    <w:next w:val="Normal"/>
    <w:link w:val="UserStyle_0"/>
    <w:pPr>
      <w:rPr>
        <w:b/>
        <w:bCs/>
        <w:szCs w:val="32"/>
        <w:sz w:val="32"/>
        <w:kern w:val="2"/>
        <w:lang w:val="en-US" w:eastAsia="zh-CN" w:bidi="ar-SA"/>
        <w:rFonts w:ascii="Calibri Light" w:cs="Times New Roman" w:eastAsia="宋体" w:hAnsi="Calibri Light"/>
      </w:rPr>
      <w:keepLines/>
      <w:keepNext/>
      <w:framePr w:outlineLvl="1"/>
      <w:spacing w:line="416" w:after="260" w:before="260" w:lineRule="auto"/>
      <w:jc w:val="both"/>
    </w:pPr>
    <w:rPr>
      <w:b/>
      <w:bCs/>
      <w:szCs w:val="32"/>
      <w:sz w:val="32"/>
      <w:kern w:val="2"/>
      <w:lang w:val="en-US" w:eastAsia="zh-CN" w:bidi="ar-SA"/>
      <w:rFonts w:ascii="Calibri Light" w:cs="Times New Roman" w:eastAsia="宋体" w:hAnsi="Calibri Light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Strong">
    <w:name w:val="Strong"/>
    <w:next w:val="Strong"/>
    <w:link w:val="Normal"/>
    <w:rPr>
      <w:b/>
      <w:bCs/>
      <w:rFonts w:cs="Times New Roman"/>
    </w:rPr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  <w:style w:type="character" w:styleId="UserStyle_0">
    <w:name w:val="UserStyle_0"/>
    <w:next w:val="UserStyle_0"/>
    <w:link w:val="Footer"/>
    <w:rPr>
      <w:szCs w:val="18"/>
      <w:sz w:val="18"/>
    </w:rPr>
  </w:style>
  <w:style w:type="character" w:styleId="UserStyle_1">
    <w:name w:val="UserStyle_1"/>
    <w:next w:val="UserStyle_1"/>
    <w:link w:val="Normal"/>
  </w:style>
  <w:style w:type="character" w:styleId="UserStyle_2">
    <w:name w:val="UserStyle_2"/>
    <w:basedOn w:val="NormalCharacter"/>
    <w:next w:val="UserStyle_2"/>
    <w:link w:val="UserStyle_3"/>
    <w:locked/>
  </w:style>
  <w:style w:type="character" w:styleId="UserStyle_4">
    <w:name w:val="UserStyle_4"/>
    <w:next w:val="UserStyle_4"/>
    <w:link w:val="Heading2"/>
    <w:rPr>
      <w:b/>
      <w:bCs/>
      <w:szCs w:val="32"/>
      <w:sz w:val="32"/>
      <w:rFonts w:ascii="Calibri Light" w:cs="Times New Roman" w:eastAsia="宋体" w:hAnsi="Calibri Light"/>
    </w:rPr>
  </w:style>
  <w:style w:type="character" w:styleId="UserStyle_5">
    <w:name w:val="UserStyle_5"/>
    <w:next w:val="UserStyle_5"/>
    <w:link w:val="Acetate"/>
    <w:semiHidden/>
    <w:rPr>
      <w:szCs w:val="18"/>
      <w:sz w:val="18"/>
    </w:rPr>
  </w:style>
  <w:style w:type="character" w:styleId="UserStyle_6">
    <w:name w:val="UserStyle_6"/>
    <w:next w:val="UserStyle_6"/>
    <w:link w:val="Heading1"/>
    <w:rPr>
      <w:b/>
      <w:bCs/>
      <w:szCs w:val="44"/>
      <w:sz w:val="44"/>
      <w:kern w:val="44"/>
      <w:rFonts w:cs="Times New Roman"/>
    </w:rPr>
  </w:style>
  <w:style w:type="character" w:styleId="UserStyle_7">
    <w:name w:val="UserStyle_7"/>
    <w:next w:val="UserStyle_7"/>
    <w:link w:val="Header"/>
    <w:rPr>
      <w:szCs w:val="18"/>
      <w:sz w:val="18"/>
    </w:rPr>
  </w:style>
  <w:style w:type="paragraph" w:styleId="Header">
    <w:name w:val="Header"/>
    <w:basedOn w:val="Normal"/>
    <w:next w:val="Header"/>
    <w:link w:val="UserStyle_7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left"/>
    </w:pPr>
    <w:rPr>
      <w:szCs w:val="18"/>
      <w:sz w:val="18"/>
      <w:kern w:val="2"/>
      <w:lang w:val="en-US" w:eastAsia="zh-CN" w:bidi="ar-SA"/>
    </w:rPr>
  </w:style>
  <w:style w:type="paragraph" w:styleId="Acetate">
    <w:name w:val="Acetate"/>
    <w:basedOn w:val="Normal"/>
    <w:next w:val="Acetate"/>
    <w:link w:val="UserStyle_5"/>
    <w:pPr>
      <w:rPr>
        <w:szCs w:val="18"/>
        <w:sz w:val="18"/>
        <w:kern w:val="2"/>
        <w:lang w:val="en-US" w:eastAsia="zh-CN" w:bidi="ar-SA"/>
      </w:rPr>
      <w:spacing w:line="240" w:lineRule="auto"/>
      <w:jc w:val="both"/>
    </w:pPr>
    <w:rPr>
      <w:szCs w:val="18"/>
      <w:sz w:val="18"/>
      <w:kern w:val="2"/>
      <w:lang w:val="en-US" w:eastAsia="zh-CN" w:bidi="ar-SA"/>
    </w:rPr>
  </w:style>
  <w:style w:type="paragraph" w:styleId="UserStyle_8">
    <w:name w:val="UserStyle_8"/>
    <w:next w:val="UserStyle_8"/>
    <w:link w:val="Normal"/>
    <w:pPr>
      <w:rPr>
        <w:szCs w:val="24"/>
        <w:sz w:val="24"/>
        <w:lang w:val="en-US" w:eastAsia="zh-CN" w:bidi="ar-SA"/>
        <w:rFonts w:ascii="微软雅黑" w:eastAsia="微软雅黑"/>
        <w:color w:val="000000"/>
      </w:rPr>
      <w:spacing w:line="240" w:lineRule="auto"/>
    </w:pPr>
    <w:rPr>
      <w:szCs w:val="24"/>
      <w:sz w:val="24"/>
      <w:lang w:val="en-US" w:eastAsia="zh-CN" w:bidi="ar-SA"/>
      <w:rFonts w:ascii="微软雅黑" w:eastAsia="微软雅黑"/>
      <w:color w:val="000000"/>
    </w:rPr>
  </w:style>
  <w:style w:type="paragraph" w:styleId="UserStyle_3">
    <w:name w:val="UserStyle_3"/>
    <w:basedOn w:val="Normal"/>
    <w:next w:val="UserStyle_3"/>
    <w:link w:val="UserStyle_2"/>
    <w:pPr>
      <w:ind w:firstLine="420" w:firstLineChars="200"/>
      <w:spacing w:line="240" w:lineRule="auto"/>
      <w:jc w:val="both"/>
    </w:p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spacing w:line="560" w:lineRule="exact"/>
        <w:jc w:val="center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楷体_GB2312" w:eastAsia="楷体_GB2312" w:hAnsi="??-?"/>
        </w:rPr>
        <w:spacing w:line="560" w:lineRule="exact"/>
        <w:jc w:val="center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t xml:space="preserve">关于举办第十五届“振兴杯”全国青年职业技能大赛学生组招聘会的通知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楷体_GB2312" w:eastAsia="楷体_GB2312" w:hAnsi="??-?"/>
        </w:rPr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江干区、高新（滨江）区、萧山区、余杭区、钱塘新区、临安区就业管理服务处：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仿宋" w:eastAsia="仿宋" w:hAnsi="仿宋"/>
        </w:rPr>
        <w:ind w:firstLine="600" w:firstLineChars="200"/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宋体"/>
        </w:rPr>
        <w:t xml:space="preserve">根据工作安排，第十五届“振兴杯”全国青年职业技能大赛学生组决赛将于11月14-18日在杭州举办，参赛选手来自全国32个省份和5个央企，共37支队伍，每个队伍包括4个工种（维修电工、车工、工具钳工、计算机程序设计员），参赛选手共444名，为每个省（央企）的前3名。为响应首个“杭州工匠日”活动部署，大力弘扬工匠精神，引导青年转变就业观念、成才观念，为我市培养知识型、技能型、创新型青年高技能人才队伍作出贡献，吸引更多高技能人才来杭发展，决定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在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第十五届 “振兴杯”全国青年职业技能大赛期间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，举办青年技能人才专场招聘会，同步在杭州市人社局官网上举办网络招聘会，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现就有关事项通知如下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：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ind w:firstLine="602" w:firstLineChars="200"/>
        <w:spacing w:line="560" w:lineRule="exact"/>
        <w:jc w:val="both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一、举办时间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ind w:firstLine="600" w:firstLineChars="200"/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11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月15日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-11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月16日（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9:30—17:00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）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ind w:firstLine="602" w:firstLineChars="200"/>
        <w:spacing w:line="560" w:lineRule="exact"/>
        <w:jc w:val="both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二、举办地点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ind w:firstLine="600" w:firstLineChars="200"/>
        <w:spacing w:line="560" w:lineRule="exact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</w:rPr>
        <w:t xml:space="preserve">杭州职业技术学院（线下）、杭州市人社局官网（网址：http://hrss.hangzhou.gov.cn，线上）。</w:t>
      </w:r>
    </w:p>
    <w:p>
      <w:pPr>
        <w:pStyle w:val="UserStyle_3"/>
        <w:rPr>
          <w:rStyle w:val="NormalCharacter"/>
          <w:b/>
          <w:szCs w:val="30"/>
          <w:sz w:val="30"/>
          <w:rFonts w:ascii="黑体" w:eastAsia="黑体" w:hAnsi="黑体"/>
        </w:rPr>
        <w:widowControl/>
        <w:ind w:firstLine="596" w:firstLineChars="198"/>
        <w:spacing w:line="240" w:lineRule="auto"/>
      </w:pPr>
      <w:r>
        <w:rPr>
          <w:rStyle w:val="NormalCharacter"/>
          <w:b/>
          <w:szCs w:val="30"/>
          <w:sz w:val="30"/>
          <w:rFonts w:ascii="黑体" w:eastAsia="黑体" w:hAnsi="黑体"/>
        </w:rPr>
        <w:t xml:space="preserve">三、举办单位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主办单位：杭州市人民政府。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承办单位：市人社局、市经信局、团市委。</w:t>
      </w:r>
    </w:p>
    <w:p>
      <w:pPr>
        <w:pStyle w:val="UserStyle_3"/>
        <w:rPr>
          <w:rStyle w:val="NormalCharacter"/>
          <w:b/>
          <w:szCs w:val="30"/>
          <w:sz w:val="30"/>
          <w:rFonts w:ascii="黑体" w:eastAsia="黑体" w:hAnsi="黑体"/>
        </w:rPr>
        <w:widowControl/>
        <w:ind w:firstLine="596" w:firstLineChars="198"/>
        <w:spacing w:line="240" w:lineRule="auto"/>
      </w:pPr>
      <w:r>
        <w:rPr>
          <w:rStyle w:val="NormalCharacter"/>
          <w:b/>
          <w:szCs w:val="30"/>
          <w:sz w:val="30"/>
          <w:rFonts w:ascii="黑体" w:eastAsia="黑体" w:hAnsi="黑体"/>
        </w:rPr>
        <w:t xml:space="preserve">四、活动规模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600" w:firstLineChars="200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1、企业规模：市人社局、市经信局各负责组织25家企业，共50家。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600" w:firstLineChars="200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2、求职人员规模：包括</w:t>
      </w:r>
      <w:r>
        <w:rPr>
          <w:rStyle w:val="NormalCharacter"/>
          <w:szCs w:val="30"/>
          <w:sz w:val="30"/>
          <w:rFonts w:ascii="仿宋" w:eastAsia="仿宋" w:hAnsi="仿宋"/>
        </w:rPr>
        <w:t xml:space="preserve">444名技能大赛参赛选手，以及招聘会举办地点周边高职院校学生。</w:t>
      </w:r>
    </w:p>
    <w:p>
      <w:pPr>
        <w:pStyle w:val="UserStyle_3"/>
        <w:rPr>
          <w:rStyle w:val="NormalCharacter"/>
          <w:b/>
          <w:szCs w:val="30"/>
          <w:sz w:val="30"/>
          <w:rFonts w:ascii="黑体" w:eastAsia="黑体" w:hAnsi="黑体"/>
        </w:rPr>
        <w:widowControl/>
        <w:ind w:firstLine="596" w:firstLineChars="198"/>
        <w:spacing w:line="240" w:lineRule="auto"/>
      </w:pPr>
      <w:r>
        <w:rPr>
          <w:rStyle w:val="NormalCharacter"/>
          <w:b/>
          <w:szCs w:val="30"/>
          <w:sz w:val="30"/>
          <w:rFonts w:ascii="黑体" w:eastAsia="黑体" w:hAnsi="黑体"/>
        </w:rPr>
        <w:t xml:space="preserve">五、活动组织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1、市人社局、市经信局、团市委负责招聘会的总体工作安排和执行，招聘会涉及的有关费用统一由团市委在技能大赛经费中列支。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2、江干区、高新（滨江）区、萧山区、余杭区、钱塘新区、临安区就业处负责落实参会企业2至5家，参会企业要求为杭城知名规上企业，拟录用人员的工资待遇不低于6000元/月，提供食宿，招聘岗位涉及电工、钳工、车工、计算机等技术工种。</w:t>
      </w:r>
    </w:p>
    <w:p>
      <w:pPr>
        <w:pStyle w:val="UserStyle_3"/>
        <w:rPr>
          <w:rStyle w:val="NormalCharacter"/>
          <w:szCs w:val="30"/>
          <w:sz w:val="30"/>
          <w:rFonts w:ascii="仿宋" w:eastAsia="仿宋" w:hAnsi="仿宋"/>
        </w:rPr>
        <w:widowControl/>
        <w:ind w:firstLine="594" w:firstLineChars="198"/>
        <w:spacing w:line="240" w:lineRule="auto"/>
      </w:pPr>
      <w:r>
        <w:rPr>
          <w:rStyle w:val="NormalCharacter"/>
          <w:szCs w:val="30"/>
          <w:sz w:val="30"/>
          <w:rFonts w:ascii="仿宋" w:eastAsia="仿宋" w:hAnsi="仿宋"/>
        </w:rPr>
        <w:t xml:space="preserve">3、要求参会企业提供企业招聘岗位信息，参会企业需填写《第十五届“振兴杯”全国青年职业技能大赛学生组招聘会招聘需求表》（见附件），相关区就业处负责收集参会企业相关资料，连同参会企业汇总表格（另附EXCEL表）于9月19日报我局公共处。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4、报名参会的企业，由主办方筛选确定25家，确定后的参会企业须</w:t>
      </w:r>
      <w:r>
        <w:rPr>
          <w:rStyle w:val="NormalCharacter"/>
          <w:szCs w:val="30"/>
          <w:sz w:val="30"/>
          <w:lang w:val="en-US" w:eastAsia="zh-CN" w:bidi="ar-SA"/>
          <w:rFonts w:ascii="仿宋" w:eastAsia="仿宋" w:hAnsi="仿宋"/>
          <w:color w:val="000000"/>
        </w:rPr>
        <w:t xml:space="preserve">录制企业宣传视频（10分钟以内），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招聘会主办方统一制作招聘海报，提供视频播放器。</w:t>
      </w:r>
    </w:p>
    <w:p>
      <w:pPr>
        <w:pStyle w:val="UserStyle_8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  <w:color w:val="000000"/>
        </w:rPr>
        <w:ind w:firstLine="602" w:firstLineChars="200"/>
        <w:spacing w:line="360" w:lineRule="auto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  <w:color w:val="000000"/>
        </w:rPr>
        <w:t xml:space="preserve">六、联系人及联系方式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联系人：朱毅真；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电话：88331016；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邮箱：</w:t>
      </w:r>
      <w:r>
        <w:rPr>
          <w:rStyle w:val="NormalCharacter"/>
          <w:szCs w:val="30"/>
          <w:sz w:val="30"/>
          <w:lang w:val="en-US" w:eastAsia="zh-CN" w:bidi="ar-SA"/>
          <w:rFonts w:ascii="仿宋" w:eastAsia="仿宋" w:hAnsi="仿宋"/>
          <w:color w:val="000000"/>
        </w:rPr>
        <w:t xml:space="preserve">9479641@qq.com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。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/>
        <w:spacing w:line="360" w:lineRule="auto"/>
        <w:jc w:val="right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杭州市就业管理服务局</w:t>
      </w:r>
    </w:p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firstLine="600" w:firstLineChars="200" w:right="300"/>
        <w:spacing w:line="360" w:lineRule="auto"/>
        <w:jc w:val="right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t xml:space="preserve">2019月9月12日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240" w:lineRule="auto"/>
        <w:jc w:val="both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t xml:space="preserve">附件：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spacing w:line="240" w:lineRule="auto"/>
        <w:jc w:val="center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第十五届“振兴杯”全国青年职业技能大赛学生组招聘会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黑体" w:eastAsia="黑体" w:hAnsi="黑体"/>
        </w:rPr>
        <w:spacing w:line="240" w:lineRule="auto"/>
        <w:jc w:val="center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招聘需求表</w:t>
      </w:r>
    </w:p>
    <w:tbl>
      <w:tblPr>
        <w:tblW w:type="dxa" w:w="8789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none" w:sz="0"/>
          <w:insideV w:space="0" w:color="000000" w:val="none" w:sz="0"/>
        </w:tblBorders>
        <w:tblLayout w:type="fixed"/>
        <w:tblCellMar>
          <w:left w:w="0" w:type="dxa"/>
          <w:right w:w="0" w:type="dxa"/>
        </w:tblCellMar>
      </w:tblPr>
      <w:tblGrid>
        <w:gridCol w:w="1276"/>
        <w:gridCol w:w="204"/>
        <w:gridCol w:w="788"/>
        <w:gridCol w:w="372"/>
        <w:gridCol w:w="479"/>
        <w:gridCol w:w="1421"/>
        <w:gridCol w:w="1460"/>
        <w:gridCol w:w="2789"/>
      </w:tblGrid>
      <w:tr>
        <w:trPr>
          <w:wAfter w:w="0" w:type="dxa"/>
          <w:trHeight w:val="620" w:hRule="atLeast"/>
        </w:trPr>
        <w:tc>
          <w:tcPr>
            <w:textDirection w:val="lrTb"/>
            <w:vAlign w:val="center"/>
            <w:tcW w:type="dxa" w:w="26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单位名称（盖章）</w:t>
            </w:r>
          </w:p>
        </w:tc>
        <w:tc>
          <w:tcPr>
            <w:textDirection w:val="lrTb"/>
            <w:vAlign w:val="center"/>
            <w:tcW w:type="dxa" w:w="614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ind w:firstLine="600"/>
              <w:spacing w:line="240" w:lineRule="auto"/>
              <w:jc w:val="center"/>
            </w:pPr>
          </w:p>
        </w:tc>
      </w:tr>
      <w:tr>
        <w:trPr>
          <w:wAfter w:w="0" w:type="dxa"/>
          <w:trHeight w:val="600" w:hRule="atLeast"/>
        </w:trPr>
        <w:tc>
          <w:tcPr>
            <w:textDirection w:val="lrTb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单位性质</w:t>
            </w:r>
          </w:p>
        </w:tc>
        <w:tc>
          <w:tcPr>
            <w:textDirection w:val="lrTb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经营规模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600" w:hRule="atLeast"/>
        </w:trPr>
        <w:tc>
          <w:tcPr>
            <w:textDirection w:val="lrTb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单位地址</w:t>
            </w:r>
          </w:p>
        </w:tc>
        <w:tc>
          <w:tcPr>
            <w:textDirection w:val="lrTb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580" w:hRule="atLeast"/>
          <w:cantSplit/>
        </w:trPr>
        <w:tc>
          <w:tcPr>
            <w:textDirection w:val="lrTb"/>
            <w:vMerge w:val="restart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联系人</w:t>
            </w:r>
          </w:p>
        </w:tc>
        <w:tc>
          <w:tcPr>
            <w:textDirection w:val="lrTb"/>
            <w:vMerge w:val="restart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720" w:hRule="atLeast"/>
          <w:cantSplit/>
        </w:trPr>
        <w:tc>
          <w:tcPr>
            <w:textDirection w:val="lrTb"/>
            <w:vMerge w:val="continue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widowControl/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widowControl/>
              <w:ind w:firstLine="56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传真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center"/>
            </w:pPr>
          </w:p>
        </w:tc>
      </w:tr>
      <w:tr>
        <w:trPr>
          <w:wAfter w:w="0" w:type="dxa"/>
          <w:trHeight w:val="620" w:hRule="atLeast"/>
        </w:trPr>
        <w:tc>
          <w:tcPr>
            <w:textDirection w:val="lrTb"/>
            <w:vAlign w:val="center"/>
            <w:tcW w:type="dxa" w:w="14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电子邮件</w:t>
            </w:r>
          </w:p>
        </w:tc>
        <w:tc>
          <w:tcPr>
            <w:textDirection w:val="lrTb"/>
            <w:vAlign w:val="center"/>
            <w:tcW w:type="dxa" w:w="30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4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手机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3498" w:hRule="atLeast"/>
        </w:trPr>
        <w:tc>
          <w:tcPr>
            <w:textDirection w:val="lrTb"/>
            <w:vAlign w:val="center"/>
            <w:tcW w:type="dxa" w:w="8789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left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单位简介：</w:t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  <w:r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</w:r>
          </w:p>
          <w:p>
            <w:pPr>
              <w:pStyle w:val="Normal"/>
              <w:rPr>
                <w:rStyle w:val="NormalCharacter"/>
                <w:szCs w:val="22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240" w:lineRule="auto"/>
              <w:jc w:val="both"/>
            </w:pPr>
          </w:p>
        </w:tc>
      </w:tr>
      <w:tr>
        <w:trPr>
          <w:wAfter w:w="0" w:type="dxa"/>
          <w:trHeight w:val="600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岗位要求</w:t>
            </w: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t xml:space="preserve">岗位待遇</w:t>
            </w:r>
          </w:p>
        </w:tc>
      </w:tr>
      <w:tr>
        <w:trPr>
          <w:wAfter w:w="0" w:type="dxa"/>
          <w:trHeight w:val="1088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ind w:firstLine="198" w:firstLineChars="66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 w:hAnsi="宋体"/>
              </w:rPr>
              <w:ind w:firstLine="198" w:firstLineChars="66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ind w:firstLine="560"/>
              <w:spacing w:line="440" w:lineRule="exact"/>
              <w:jc w:val="both"/>
            </w:pP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none" w:sz="0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1088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</w:tr>
      <w:tr>
        <w:trPr>
          <w:wAfter w:w="0" w:type="dxa"/>
          <w:trHeight w:val="1088" w:hRule="atLeast"/>
        </w:trPr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8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27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30"/>
                <w:kern w:val="2"/>
                <w:lang w:val="en-US" w:eastAsia="zh-CN" w:bidi="ar-SA"/>
                <w:rFonts w:ascii="仿宋_GB2312"/>
              </w:rPr>
              <w:ind w:firstLine="600"/>
              <w:spacing w:line="240" w:lineRule="auto"/>
              <w:jc w:val="center"/>
            </w:pPr>
          </w:p>
        </w:tc>
      </w:tr>
    </w:tbl>
    <w:p>
      <w:pPr>
        <w:pStyle w:val="UserStyle_8"/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  <w:ind w:right="900"/>
        <w:spacing w:line="360" w:lineRule="auto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" w:eastAsia="仿宋" w:hAnsi="仿宋"/>
          <w:color w:val="000000"/>
        </w:rPr>
      </w:r>
    </w:p>
    <w:sectPr>
      <w:vAlign w:val="top"/>
      <w:type w:val="nextPage"/>
      <w:pgSz w:h="16838" w:w="11906" w:orient="portrait"/>
      <w:pgMar w:gutter="0" w:header="851" w:top="1091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